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6" w:rsidRPr="00A92AB6" w:rsidRDefault="00A92AB6" w:rsidP="00A92AB6">
      <w:pPr>
        <w:pBdr>
          <w:top w:val="dashed" w:sz="6" w:space="2" w:color="CED1B8"/>
          <w:left w:val="dashed" w:sz="6" w:space="2" w:color="CED1B8"/>
          <w:bottom w:val="dashed" w:sz="6" w:space="2" w:color="CED1B8"/>
          <w:right w:val="dashed" w:sz="6" w:space="2" w:color="CED1B8"/>
        </w:pBdr>
        <w:shd w:val="clear" w:color="auto" w:fill="FFFFFF"/>
        <w:spacing w:after="0" w:line="375" w:lineRule="atLeast"/>
        <w:outlineLvl w:val="1"/>
        <w:rPr>
          <w:rFonts w:ascii="Georgia" w:eastAsia="Times New Roman" w:hAnsi="Georgia" w:cs="Times New Roman"/>
          <w:b/>
          <w:bCs/>
          <w:color w:val="171A0A"/>
          <w:sz w:val="24"/>
          <w:szCs w:val="24"/>
          <w:lang w:eastAsia="ru-RU"/>
        </w:rPr>
      </w:pPr>
      <w:r w:rsidRPr="00A92AB6">
        <w:rPr>
          <w:rFonts w:ascii="Georgia" w:eastAsia="Times New Roman" w:hAnsi="Georgia" w:cs="Times New Roman"/>
          <w:b/>
          <w:bCs/>
          <w:color w:val="171A0A"/>
          <w:sz w:val="24"/>
          <w:szCs w:val="24"/>
          <w:lang w:eastAsia="ru-RU"/>
        </w:rPr>
        <w:t>План работы МО учителей математики, физики и информатики на 2015-2016 учебный год</w:t>
      </w:r>
      <w:bookmarkStart w:id="0" w:name="_GoBack"/>
      <w:bookmarkEnd w:id="0"/>
    </w:p>
    <w:p w:rsidR="00A92AB6" w:rsidRPr="00A92AB6" w:rsidRDefault="00A92AB6" w:rsidP="00A92AB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A92AB6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5644"/>
        <w:gridCol w:w="3683"/>
      </w:tblGrid>
      <w:tr w:rsidR="00A92AB6" w:rsidRPr="00A92AB6" w:rsidTr="00A92AB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Ответствен.</w:t>
            </w:r>
          </w:p>
        </w:tc>
      </w:tr>
      <w:tr w:rsidR="00A92AB6" w:rsidRPr="00A92AB6" w:rsidTr="00A92AB6">
        <w:trPr>
          <w:cantSplit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ШМО.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 Анализ деятельности  МО за 2014-2015 уч. год.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2)Анализ результатов  ЕГЭ по математике.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Обсуждение и утв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ерждение плана работы МО на 2015-2016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Согласование учебных программ по предметам.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Планирование самообразовательной деятельности (название темы, дата выступления по выбранной теме, форма отчётности).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Соблюдение единых требований к ведению и проверке тетрадей, соблюдение орфографического режима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Default="00A92AB6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Новикова Е.А. </w:t>
            </w:r>
          </w:p>
          <w:p w:rsidR="00A92AB6" w:rsidRDefault="00A92AB6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A92AB6" w:rsidRDefault="00A92AB6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данных об учителях МО.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школьного тура олимпиад.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контрольные работы по математике.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факультативов в 9-х, 10,11 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«Готовимся к ЕГЭ», «Готовимся к ОГЭ»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внеурочной деятельности по темам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5B3815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для учащихся 9-х классов в рамках подготовки к итоговой аттестации в новой форме.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для учащихся 11-х классов в рамках подготовки к ЕГЭ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входного контроля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 олимпиад.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Продолжить оформление паспорта кабинета.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абинетами</w:t>
            </w:r>
            <w:proofErr w:type="spellEnd"/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– методика подготовки, особенности содержания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ШМО.    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Проблемы преемственности при переходе учащихся в среднее звено.</w:t>
            </w:r>
          </w:p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Формирование информационных компетентностей, способствующих успешному обучению математике.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Об итогах школьных   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 олимпиад.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gram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 подготовке к проведению предметной недели по математике, физике, информатике.</w:t>
            </w:r>
            <w:proofErr w:type="gramEnd"/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Default="00A92AB6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Новикова Е.А.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450" w:lineRule="atLeast"/>
              <w:outlineLvl w:val="0"/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</w:pPr>
            <w:r w:rsidRPr="00A92AB6"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  <w:t>пробного</w:t>
            </w:r>
            <w:proofErr w:type="gramEnd"/>
            <w:r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  <w:t xml:space="preserve"> ГИА по математике 9 класс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450" w:lineRule="atLeast"/>
              <w:outlineLvl w:val="0"/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Cs/>
                <w:kern w:val="36"/>
                <w:sz w:val="28"/>
                <w:szCs w:val="28"/>
                <w:lang w:eastAsia="ru-RU"/>
              </w:rPr>
              <w:t>Мониторинги и оценка качества знаний обучающихся 9 классов.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450" w:lineRule="atLeast"/>
              <w:outlineLvl w:val="2"/>
              <w:rPr>
                <w:rFonts w:ascii="Georgia" w:eastAsia="Times New Roman" w:hAnsi="Georgia" w:cs="Arial"/>
                <w:b/>
                <w:bCs/>
                <w:color w:val="D27441"/>
                <w:sz w:val="29"/>
                <w:szCs w:val="29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450" w:lineRule="atLeast"/>
              <w:outlineLvl w:val="0"/>
              <w:rPr>
                <w:rFonts w:ascii="Georgia" w:eastAsia="Times New Roman" w:hAnsi="Georgia" w:cs="Arial"/>
                <w:bCs/>
                <w:color w:val="718230"/>
                <w:kern w:val="36"/>
                <w:sz w:val="35"/>
                <w:szCs w:val="35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Диагностические работы по математике, физике за I полугодие. Подготовка справки  для МО.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450" w:lineRule="atLeast"/>
              <w:outlineLvl w:val="0"/>
              <w:rPr>
                <w:rFonts w:ascii="Georgia" w:eastAsia="Times New Roman" w:hAnsi="Georgia" w:cs="Arial"/>
                <w:bCs/>
                <w:color w:val="718230"/>
                <w:kern w:val="36"/>
                <w:sz w:val="35"/>
                <w:szCs w:val="35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Мониторинг результативности  деятельности учителей-предметников  и мониторинг выполнения учебных программ и практической части за I полугодие. Подготовка справки для МО.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450" w:lineRule="atLeast"/>
              <w:outlineLvl w:val="0"/>
              <w:rPr>
                <w:rFonts w:ascii="Georgia" w:eastAsia="Times New Roman" w:hAnsi="Georgia" w:cs="Arial"/>
                <w:bCs/>
                <w:color w:val="718230"/>
                <w:kern w:val="36"/>
                <w:sz w:val="35"/>
                <w:szCs w:val="35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Выполнение техники безопасности по физике и информатике.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92AB6" w:rsidRPr="00A92AB6" w:rsidTr="00A92AB6">
        <w:trPr>
          <w:trHeight w:val="320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ШМО.</w:t>
            </w:r>
            <w:r w:rsidRPr="00A92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   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Вести с уроков. Круглый стол в рамках выбранных тем самообразования.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2)Проведение итоговой аттестации в 9-х классах по математике  – методика подготовки, особенности содержания.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3)Проведение итоговой аттестации учащихся 11 класса в форме ЕГЭ – методика подготовки, особенности содержания.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Анализ успеваемости учащихся в I полугодие. Итоги диагностических работ.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Обзор предметных газет и журналов.                                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AB6"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плана 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внеклассных мероприятий по математике, физике  и информатике в рамках предметной недели.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рабочих  и контрольных тетрадей по математике с целью проверки соблюдения единого орфографического режима. Собеседование с учителями по итогам проверки.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Деятельность учителя и учеников в системе 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в обучении и составление 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заданий в условиях введения ФГОС.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053FAE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Посеще</w:t>
            </w:r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уроков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«Диагностика готовности педагога к освоению инновационных педагогических технологий как уровня профессионального роста».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 w:rsidR="0005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внеклассных мероприятий в рамках недели математики.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A92AB6" w:rsidRPr="00A92AB6" w:rsidTr="00053FAE">
        <w:trPr>
          <w:trHeight w:val="31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Областные диагностические работы по математике в 10  и 11 классах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053FAE" w:rsidRPr="00A92AB6" w:rsidTr="00053FAE">
        <w:trPr>
          <w:trHeight w:val="31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AE" w:rsidRPr="00A92AB6" w:rsidRDefault="00053FAE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AE" w:rsidRDefault="00053FAE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пробных диагностических работ по предметам в форме ЕГЭ и ОГЭ 9,11 классы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AE" w:rsidRDefault="00053FAE" w:rsidP="00A92A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AB6" w:rsidRPr="00A92AB6" w:rsidTr="00A92AB6">
        <w:trPr>
          <w:cantSplit/>
        </w:trPr>
        <w:tc>
          <w:tcPr>
            <w:tcW w:w="9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pBdr>
                <w:top w:val="dashed" w:sz="6" w:space="2" w:color="CED1B8"/>
                <w:left w:val="dashed" w:sz="6" w:space="2" w:color="CED1B8"/>
                <w:bottom w:val="dashed" w:sz="6" w:space="2" w:color="CED1B8"/>
                <w:right w:val="dashed" w:sz="6" w:space="2" w:color="CED1B8"/>
              </w:pBdr>
              <w:spacing w:after="0" w:line="375" w:lineRule="atLeast"/>
              <w:outlineLvl w:val="1"/>
              <w:rPr>
                <w:rFonts w:ascii="Georgia" w:eastAsia="Times New Roman" w:hAnsi="Georgia" w:cs="Arial"/>
                <w:b/>
                <w:bCs/>
                <w:color w:val="171A0A"/>
                <w:sz w:val="24"/>
                <w:szCs w:val="24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 ШМО.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 . Системно-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как основа </w:t>
            </w: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современного урока в условиях введения ФГОС (из опыта работы учителей МО)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2)Выполнение учебных программ.</w:t>
            </w:r>
          </w:p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 распределении нагрузки на следующий учебный год.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Новикова Е.А.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учащихся 5-8, 10 классов.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Знакомство с нормативными документами для итоговой аттестации обучающихся 9, 11 классов.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gram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работе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методических  новинок.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2AB6" w:rsidRPr="00A92AB6" w:rsidTr="00A92AB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A92AB6" w:rsidP="00A92AB6">
            <w:pPr>
              <w:spacing w:after="0" w:line="293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учителей МО  за 2015-2016 </w:t>
            </w:r>
            <w:proofErr w:type="spell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A9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составление плана работы на новый учебный год.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AB6" w:rsidRPr="00A92AB6" w:rsidRDefault="00053FAE" w:rsidP="00A92AB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Е.А.</w:t>
            </w:r>
          </w:p>
        </w:tc>
      </w:tr>
    </w:tbl>
    <w:p w:rsidR="00137E2A" w:rsidRPr="00A92AB6" w:rsidRDefault="00137E2A"/>
    <w:sectPr w:rsidR="00137E2A" w:rsidRPr="00A9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B6"/>
    <w:rsid w:val="00053FAE"/>
    <w:rsid w:val="00137E2A"/>
    <w:rsid w:val="00A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2016-02-17T05:03:00Z</dcterms:created>
  <dcterms:modified xsi:type="dcterms:W3CDTF">2016-02-17T05:22:00Z</dcterms:modified>
</cp:coreProperties>
</file>